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B2E" w:rsidRDefault="004C6AE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BF0B2E" w:rsidRDefault="004C6AE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BF0B2E" w:rsidRDefault="004C6AE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_DdeLink__523_2554509279"/>
      <w:bookmarkStart w:id="1" w:name="__DdeLink__1342_1957463298"/>
      <w:r>
        <w:rPr>
          <w:rFonts w:ascii="Arial" w:hAnsi="Arial" w:cs="Arial"/>
          <w:b/>
          <w:sz w:val="20"/>
          <w:szCs w:val="20"/>
        </w:rPr>
        <w:t xml:space="preserve">z dnia 16 kwietnia 2020 r.  </w:t>
      </w:r>
      <w:bookmarkEnd w:id="0"/>
      <w:bookmarkEnd w:id="1"/>
    </w:p>
    <w:p w:rsidR="00BF0B2E" w:rsidRDefault="00BF0B2E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BF0B2E" w:rsidRDefault="004C6AE0">
      <w:pPr>
        <w:pStyle w:val="Nagwek1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BF0B2E" w:rsidRDefault="004C6AE0">
      <w:pPr>
        <w:pStyle w:val="Nagwek1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B0BEC">
        <w:rPr>
          <w:rFonts w:ascii="Arial" w:hAnsi="Arial" w:cs="Arial"/>
          <w:b/>
          <w:color w:val="auto"/>
          <w:sz w:val="24"/>
          <w:szCs w:val="24"/>
        </w:rPr>
        <w:t>II</w:t>
      </w:r>
      <w:r w:rsidR="0059631B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2021 roku</w:t>
      </w:r>
    </w:p>
    <w:p w:rsidR="00BF0B2E" w:rsidRDefault="004C6AE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756"/>
        <w:gridCol w:w="6534"/>
      </w:tblGrid>
      <w:tr w:rsidR="00BF0B2E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0B2E" w:rsidRDefault="004C6AE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Cyfrowe udostępnienie zasobów Muzeum Sztuki w Łodzi</w:t>
            </w:r>
          </w:p>
        </w:tc>
      </w:tr>
      <w:tr w:rsidR="00BF0B2E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0B2E" w:rsidRDefault="004C6AE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Kultury, Dziedzictwa Narodowego i Sportu</w:t>
            </w:r>
          </w:p>
        </w:tc>
      </w:tr>
      <w:tr w:rsidR="00BF0B2E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0B2E" w:rsidRDefault="004C6AE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Muzeum Sztuki w Łodzi</w:t>
            </w:r>
          </w:p>
        </w:tc>
      </w:tr>
      <w:tr w:rsidR="00BF0B2E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0B2E" w:rsidRDefault="00BF0B2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BF0B2E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0B2E" w:rsidRDefault="004C6AE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Oś priorytetowa II E-administracja i otwarty urząd, 2.3 Cyfrowa dostępność i użyteczność informacji sektora publicznego, 2.3.2 Cyfrowe udostępnienie zasobów kultury</w:t>
            </w:r>
          </w:p>
          <w:p w:rsidR="00BF0B2E" w:rsidRDefault="004C6AE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w ramach wydatków cz.24 i cz.83 rezerwy celowej poz. 8</w:t>
            </w:r>
          </w:p>
        </w:tc>
      </w:tr>
      <w:tr w:rsidR="00BF0B2E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0B2E" w:rsidRDefault="004C6AE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4 994 130,11 zł</w:t>
            </w:r>
          </w:p>
        </w:tc>
      </w:tr>
      <w:tr w:rsidR="00BF0B2E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0B2E" w:rsidRDefault="004C6AE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4 432 737,49 zł</w:t>
            </w:r>
          </w:p>
        </w:tc>
      </w:tr>
      <w:tr w:rsidR="00BF0B2E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F0B2E" w:rsidRDefault="004C6AE0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01.08.2020 – 31.07.2023 r.</w:t>
            </w:r>
          </w:p>
        </w:tc>
      </w:tr>
    </w:tbl>
    <w:p w:rsidR="00BF0B2E" w:rsidRDefault="004C6AE0">
      <w:pPr>
        <w:pStyle w:val="Nagwek21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BF0B2E" w:rsidRDefault="004C6AE0">
      <w:pPr>
        <w:pStyle w:val="Nagwek31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auto"/>
          <w:sz w:val="18"/>
          <w:szCs w:val="18"/>
        </w:rPr>
        <w:t>Nie dotyczy</w:t>
      </w:r>
      <w:r>
        <w:rPr>
          <w:rFonts w:ascii="Arial" w:eastAsiaTheme="minorHAnsi" w:hAnsi="Arial" w:cs="Arial"/>
          <w:color w:val="auto"/>
          <w:sz w:val="18"/>
          <w:szCs w:val="18"/>
        </w:rPr>
        <w:t>.</w:t>
      </w:r>
    </w:p>
    <w:p w:rsidR="00BF0B2E" w:rsidRDefault="004C6AE0">
      <w:pPr>
        <w:pStyle w:val="Nagwek21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308"/>
        <w:gridCol w:w="6275"/>
        <w:gridCol w:w="2051"/>
      </w:tblGrid>
      <w:tr w:rsidR="00BF0B2E">
        <w:trPr>
          <w:tblHeader/>
        </w:trPr>
        <w:tc>
          <w:tcPr>
            <w:tcW w:w="1335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6225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074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F0B2E">
        <w:tc>
          <w:tcPr>
            <w:tcW w:w="1335" w:type="dxa"/>
            <w:shd w:val="clear" w:color="auto" w:fill="auto"/>
          </w:tcPr>
          <w:p w:rsidR="00BF0B2E" w:rsidRDefault="001B0BEC">
            <w:pPr>
              <w:spacing w:after="0" w:line="240" w:lineRule="auto"/>
            </w:pPr>
            <w:r>
              <w:rPr>
                <w:rFonts w:ascii="Arial" w:hAnsi="Arial" w:cs="Calibri"/>
              </w:rPr>
              <w:t>3</w:t>
            </w:r>
            <w:r w:rsidR="0059631B">
              <w:rPr>
                <w:rFonts w:ascii="Arial" w:hAnsi="Arial" w:cs="Calibri"/>
              </w:rPr>
              <w:t>8,88</w:t>
            </w:r>
            <w:r>
              <w:rPr>
                <w:rFonts w:ascii="Arial" w:hAnsi="Arial" w:cs="Calibri"/>
              </w:rPr>
              <w:t xml:space="preserve"> </w:t>
            </w:r>
            <w:r w:rsidR="004C6AE0">
              <w:rPr>
                <w:rFonts w:ascii="Arial" w:hAnsi="Arial" w:cs="Calibri"/>
              </w:rPr>
              <w:t>%</w:t>
            </w:r>
          </w:p>
        </w:tc>
        <w:tc>
          <w:tcPr>
            <w:tcW w:w="6225" w:type="dxa"/>
            <w:shd w:val="clear" w:color="auto" w:fill="auto"/>
          </w:tcPr>
          <w:p w:rsidR="00BF0B2E" w:rsidRPr="00CD6944" w:rsidRDefault="0059631B">
            <w:pPr>
              <w:pStyle w:val="Akapitzlist"/>
              <w:numPr>
                <w:ilvl w:val="3"/>
                <w:numId w:val="1"/>
              </w:numPr>
              <w:spacing w:after="0" w:line="240" w:lineRule="auto"/>
            </w:pPr>
            <w:r w:rsidRPr="00CD6944">
              <w:rPr>
                <w:rFonts w:ascii="Arial" w:hAnsi="Arial" w:cs="Arial"/>
                <w:sz w:val="18"/>
                <w:szCs w:val="20"/>
              </w:rPr>
              <w:t>38</w:t>
            </w:r>
            <w:r w:rsidR="004C6AE0" w:rsidRPr="00CD6944">
              <w:rPr>
                <w:rFonts w:ascii="Arial" w:hAnsi="Arial" w:cs="Arial"/>
                <w:sz w:val="18"/>
                <w:szCs w:val="20"/>
              </w:rPr>
              <w:t>,0</w:t>
            </w:r>
            <w:r w:rsidRPr="00CD6944">
              <w:rPr>
                <w:rFonts w:ascii="Arial" w:hAnsi="Arial" w:cs="Arial"/>
                <w:sz w:val="18"/>
                <w:szCs w:val="20"/>
              </w:rPr>
              <w:t>2</w:t>
            </w:r>
            <w:r w:rsidR="004C6AE0" w:rsidRPr="00CD6944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BF0B2E" w:rsidRPr="00CD6944" w:rsidRDefault="00D775E2">
            <w:pPr>
              <w:pStyle w:val="Akapitzlist"/>
              <w:numPr>
                <w:ilvl w:val="3"/>
                <w:numId w:val="1"/>
              </w:numPr>
              <w:spacing w:after="0" w:line="240" w:lineRule="auto"/>
            </w:pPr>
            <w:r>
              <w:t>23,84%</w:t>
            </w:r>
          </w:p>
          <w:p w:rsidR="00BF0B2E" w:rsidRPr="00D775E2" w:rsidRDefault="00ED5364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D775E2">
              <w:rPr>
                <w:rFonts w:ascii="Arial" w:hAnsi="Arial" w:cs="Arial"/>
                <w:sz w:val="18"/>
                <w:szCs w:val="20"/>
              </w:rPr>
              <w:t>37,30%</w:t>
            </w:r>
          </w:p>
        </w:tc>
        <w:tc>
          <w:tcPr>
            <w:tcW w:w="2074" w:type="dxa"/>
            <w:shd w:val="clear" w:color="auto" w:fill="auto"/>
          </w:tcPr>
          <w:p w:rsidR="00BF0B2E" w:rsidRDefault="004C6AE0" w:rsidP="00BE53C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BE53C4" w:rsidRPr="00BE53C4">
              <w:rPr>
                <w:rFonts w:ascii="Arial" w:hAnsi="Arial" w:cs="Arial"/>
                <w:sz w:val="18"/>
                <w:szCs w:val="20"/>
              </w:rPr>
              <w:t>82,82%</w:t>
            </w:r>
            <w:r w:rsidR="00BE53C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:rsidR="00BF0B2E" w:rsidRDefault="00BF0B2E">
      <w:pPr>
        <w:pStyle w:val="Nagwek31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BF0B2E" w:rsidRDefault="004C6AE0">
      <w:pPr>
        <w:pStyle w:val="Nagwek31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  <w:bookmarkStart w:id="2" w:name="_GoBack"/>
      <w:bookmarkEnd w:id="2"/>
    </w:p>
    <w:p w:rsidR="00BF0B2E" w:rsidRDefault="004C6AE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217"/>
        <w:gridCol w:w="1617"/>
        <w:gridCol w:w="1306"/>
        <w:gridCol w:w="1860"/>
        <w:gridCol w:w="2639"/>
      </w:tblGrid>
      <w:tr w:rsidR="00BF0B2E">
        <w:trPr>
          <w:tblHeader/>
        </w:trPr>
        <w:tc>
          <w:tcPr>
            <w:tcW w:w="2216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16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60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41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BF0B2E">
        <w:tc>
          <w:tcPr>
            <w:tcW w:w="2216" w:type="dxa"/>
            <w:shd w:val="clear" w:color="auto" w:fill="auto"/>
          </w:tcPr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Opracowanie Studium Wykonalności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Adaptacja serwerowni i zakup wyposażenia – protokół odbioru prac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i zainstalowanie nowego programu do ewidencji zasobów – protokół odbioru prac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Zakończenie prac programistycznych dotyczących portalu on-line-protokół odbioru prac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oprogramowania do pracowni digitalizacji – protokół odbioru prac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Zakup i dostawa sprzętu informatycznego – protokół odbioru prac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Digitalizacja zasobów - raport końcowy podsumowujący realizację projektu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Upowszechnianie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zasobów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Spotkanie podsumowujące/ upowszechniające platformę - Raport końcowe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Konferencja podsumowująca projekt</w:t>
            </w: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Raport podsumowujący działania informacyjno/promocyjne</w:t>
            </w:r>
          </w:p>
        </w:tc>
        <w:tc>
          <w:tcPr>
            <w:tcW w:w="1616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- 5: </w:t>
            </w:r>
            <w:r>
              <w:rPr>
                <w:rFonts w:ascii="Arial" w:hAnsi="Arial" w:cs="Arial"/>
                <w:sz w:val="18"/>
                <w:szCs w:val="18"/>
              </w:rPr>
              <w:t>Liczba pracowni doposażonych w sprzęt do digitalizacji – wartość docelowa szt.1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3: </w:t>
            </w:r>
            <w:r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publicznego - wartość docelowa szt. 1</w:t>
            </w: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KPI – 6: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 - wartość docelowa szt. 1228</w:t>
            </w: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1: </w:t>
            </w:r>
            <w:r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 - wartość docelowa szt. 6150</w:t>
            </w: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7: </w:t>
            </w:r>
            <w:r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informacji sektora publicznego - wartość docelowa 16 TB</w:t>
            </w: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– 4: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 - wartość docelowa szt. 1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09-2019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E481D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E481D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E481D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-2022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E481D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-2022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E481D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-2022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E481D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-2023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E481D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860" w:type="dxa"/>
            <w:shd w:val="clear" w:color="auto" w:fill="auto"/>
          </w:tcPr>
          <w:p w:rsidR="00BF0B2E" w:rsidRDefault="004C6AE0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09-2019 </w:t>
            </w: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pStyle w:val="Akapitzlist"/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641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- osiągnięty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F0B2E" w:rsidRDefault="004C6AE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BF0B2E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F0B2E">
        <w:trPr>
          <w:trHeight w:val="777"/>
        </w:trPr>
        <w:tc>
          <w:tcPr>
            <w:tcW w:w="2545" w:type="dxa"/>
            <w:shd w:val="clear" w:color="auto" w:fill="auto"/>
          </w:tcPr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1: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udostępnionych on-line dokumentów zwierających informację sektora publicznego 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2: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 zawierających informacje sektora publicznego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3: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podmiotów, które udostępniły on-line informacje sektora publicznego 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4: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5: </w:t>
            </w:r>
            <w:r>
              <w:rPr>
                <w:rFonts w:ascii="Arial" w:hAnsi="Arial"/>
                <w:sz w:val="18"/>
                <w:szCs w:val="18"/>
              </w:rPr>
              <w:t>Liczba pracowni doposażonych w sprzęt do digitalizacji.</w:t>
            </w:r>
          </w:p>
          <w:p w:rsidR="00BF0B2E" w:rsidRDefault="00BF0B2E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6: </w:t>
            </w:r>
            <w:r>
              <w:rPr>
                <w:rFonts w:ascii="Arial" w:hAnsi="Arial"/>
                <w:sz w:val="18"/>
                <w:szCs w:val="18"/>
              </w:rPr>
              <w:t xml:space="preserve">Liczba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dokumentów zawierających informacje sektora publicznego</w:t>
            </w:r>
          </w:p>
          <w:p w:rsidR="00BF0B2E" w:rsidRDefault="00BF0B2E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7: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Rozmiar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publicznego. Pomiar jednokrotny na zakończenie projektu.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6150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23000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1228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16 TB</w:t>
            </w:r>
          </w:p>
        </w:tc>
        <w:tc>
          <w:tcPr>
            <w:tcW w:w="1707" w:type="dxa"/>
            <w:shd w:val="clear" w:color="auto" w:fill="auto"/>
          </w:tcPr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07.2023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07.2024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</w:tc>
        <w:tc>
          <w:tcPr>
            <w:tcW w:w="2264" w:type="dxa"/>
            <w:shd w:val="clear" w:color="auto" w:fill="auto"/>
          </w:tcPr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Pr="005E06B6" w:rsidRDefault="005E06B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E06B6">
              <w:rPr>
                <w:rFonts w:ascii="Arial" w:hAnsi="Arial" w:cs="Arial"/>
                <w:sz w:val="18"/>
                <w:szCs w:val="20"/>
              </w:rPr>
              <w:t>273</w:t>
            </w: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5E06B6" w:rsidRPr="005E06B6" w:rsidRDefault="005E06B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E06B6">
              <w:rPr>
                <w:rFonts w:ascii="Arial" w:hAnsi="Arial" w:cs="Arial"/>
                <w:sz w:val="18"/>
                <w:szCs w:val="20"/>
              </w:rPr>
              <w:t>5,12 TB</w:t>
            </w:r>
          </w:p>
          <w:p w:rsidR="005E06B6" w:rsidRDefault="005E06B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BF0B2E" w:rsidRDefault="004C6AE0">
      <w:pPr>
        <w:pStyle w:val="Nagwek21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3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9"/>
        <w:gridCol w:w="1261"/>
        <w:gridCol w:w="1395"/>
        <w:gridCol w:w="4169"/>
      </w:tblGrid>
      <w:tr w:rsidR="00BF0B2E">
        <w:trPr>
          <w:tblHeader/>
        </w:trPr>
        <w:tc>
          <w:tcPr>
            <w:tcW w:w="2808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0B2E">
        <w:tc>
          <w:tcPr>
            <w:tcW w:w="2808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  <w:shd w:val="clear" w:color="auto" w:fill="auto"/>
          </w:tcPr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69" w:type="dxa"/>
            <w:shd w:val="clear" w:color="auto" w:fill="auto"/>
          </w:tcPr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BF0B2E" w:rsidRDefault="004C6AE0">
      <w:pPr>
        <w:pStyle w:val="Nagwek21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8"/>
        <w:gridCol w:w="1261"/>
        <w:gridCol w:w="1395"/>
        <w:gridCol w:w="4140"/>
      </w:tblGrid>
      <w:tr w:rsidR="00BF0B2E">
        <w:trPr>
          <w:tblHeader/>
        </w:trPr>
        <w:tc>
          <w:tcPr>
            <w:tcW w:w="2837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40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0B2E">
        <w:tc>
          <w:tcPr>
            <w:tcW w:w="2837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Zdigitalizowanie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udostępnienie: Dzieł Sztuki Nowoczesnej, Dzieł Sztuki Dawnej i materiałów audiowizualne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  <w:p w:rsidR="00BF0B2E" w:rsidRDefault="00BF0B2E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BF0B2E" w:rsidRDefault="00BF0B2E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BF0B2E" w:rsidRDefault="004C6AE0">
      <w:pPr>
        <w:pStyle w:val="Nagwek31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9"/>
        <w:gridCol w:w="1700"/>
        <w:gridCol w:w="1843"/>
        <w:gridCol w:w="3542"/>
      </w:tblGrid>
      <w:tr w:rsidR="00BF0B2E">
        <w:trPr>
          <w:tblHeader/>
        </w:trPr>
        <w:tc>
          <w:tcPr>
            <w:tcW w:w="2548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0B2E">
        <w:tc>
          <w:tcPr>
            <w:tcW w:w="2548" w:type="dxa"/>
            <w:shd w:val="clear" w:color="auto" w:fill="auto"/>
          </w:tcPr>
          <w:p w:rsidR="00BF0B2E" w:rsidRDefault="004C6AE0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Publiczny Interfejs API dostępu do zasobów kultury</w:t>
            </w:r>
          </w:p>
          <w:p w:rsidR="00BF0B2E" w:rsidRDefault="00BF0B2E">
            <w:pPr>
              <w:spacing w:after="0" w:line="240" w:lineRule="auto"/>
              <w:rPr>
                <w:rFonts w:cs="Calibri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Oprogramowanie Systemu Muzealnego do ewidencji zasobów kultury </w:t>
            </w:r>
          </w:p>
          <w:p w:rsidR="00BF0B2E" w:rsidRDefault="00BF0B2E">
            <w:pPr>
              <w:spacing w:after="0" w:line="240" w:lineRule="auto"/>
              <w:rPr>
                <w:rFonts w:cs="Calibri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Repozytorium </w:t>
            </w:r>
            <w:proofErr w:type="spellStart"/>
            <w:r>
              <w:rPr>
                <w:rFonts w:ascii="Arial" w:hAnsi="Arial" w:cs="Calibri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Calibri"/>
                <w:sz w:val="18"/>
                <w:szCs w:val="18"/>
              </w:rPr>
              <w:t xml:space="preserve"> Dzieł</w:t>
            </w:r>
          </w:p>
          <w:p w:rsidR="00BF0B2E" w:rsidRDefault="00BF0B2E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BF0B2E" w:rsidRDefault="00BF0B2E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</w:tcPr>
          <w:p w:rsidR="00BF0B2E" w:rsidRDefault="004C6AE0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07-2023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3" w:type="dxa"/>
            <w:shd w:val="clear" w:color="auto" w:fill="auto"/>
          </w:tcPr>
          <w:p w:rsidR="00BF0B2E" w:rsidRDefault="00BF0B2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2" w:type="dxa"/>
            <w:shd w:val="clear" w:color="auto" w:fill="auto"/>
          </w:tcPr>
          <w:p w:rsidR="00BF0B2E" w:rsidRDefault="00BF0B2E">
            <w:pPr>
              <w:pStyle w:val="LO-normal"/>
              <w:rPr>
                <w:sz w:val="20"/>
                <w:szCs w:val="20"/>
              </w:rPr>
            </w:pPr>
          </w:p>
          <w:p w:rsidR="00BF0B2E" w:rsidRDefault="004D1EFB">
            <w:pPr>
              <w:pStyle w:val="LO-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Status: analizowanie</w:t>
            </w:r>
          </w:p>
          <w:p w:rsidR="00BF0B2E" w:rsidRDefault="00BF0B2E">
            <w:pPr>
              <w:pStyle w:val="LO-normal"/>
              <w:rPr>
                <w:sz w:val="20"/>
                <w:szCs w:val="20"/>
              </w:rPr>
            </w:pPr>
          </w:p>
          <w:p w:rsidR="00BF0B2E" w:rsidRDefault="004C6AE0">
            <w:pPr>
              <w:pStyle w:val="LO-normal"/>
            </w:pPr>
            <w:r>
              <w:rPr>
                <w:sz w:val="20"/>
                <w:szCs w:val="20"/>
              </w:rPr>
              <w:t xml:space="preserve">System Muzealny będzie zawierał moduł  pozwalający na dostarczenie z bazy danych </w:t>
            </w:r>
            <w:proofErr w:type="spellStart"/>
            <w:r>
              <w:rPr>
                <w:sz w:val="20"/>
                <w:szCs w:val="20"/>
              </w:rPr>
              <w:t>zdigitalizowanych</w:t>
            </w:r>
            <w:proofErr w:type="spellEnd"/>
            <w:r>
              <w:rPr>
                <w:sz w:val="20"/>
                <w:szCs w:val="20"/>
              </w:rPr>
              <w:t xml:space="preserve"> dzieł do KRONIK@. Obsłużenie API platformy KRONIK@. Umożliwienie wymiany danych z portalem KRONIK@. Kierunek przepływu danych to przekazywanie z Systemu Muzealnego danych do portalu KRONIK@.</w:t>
            </w:r>
          </w:p>
        </w:tc>
      </w:tr>
    </w:tbl>
    <w:p w:rsidR="00BF0B2E" w:rsidRDefault="004C6AE0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BF0B2E" w:rsidRDefault="004C6AE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2"/>
        <w:gridCol w:w="1688"/>
        <w:gridCol w:w="2294"/>
        <w:gridCol w:w="2364"/>
      </w:tblGrid>
      <w:tr w:rsidR="00BF0B2E">
        <w:trPr>
          <w:tblHeader/>
        </w:trPr>
        <w:tc>
          <w:tcPr>
            <w:tcW w:w="3152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3" w:type="dxa"/>
            <w:shd w:val="clear" w:color="auto" w:fill="D0CECE" w:themeFill="background2" w:themeFillShade="E6"/>
          </w:tcPr>
          <w:p w:rsidR="00BF0B2E" w:rsidRDefault="004C6AE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4" w:type="dxa"/>
            <w:shd w:val="clear" w:color="auto" w:fill="D0CECE" w:themeFill="background2" w:themeFillShade="E6"/>
            <w:vAlign w:val="center"/>
          </w:tcPr>
          <w:p w:rsidR="00BF0B2E" w:rsidRDefault="004C6AE0">
            <w:pPr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BF0B2E">
        <w:tc>
          <w:tcPr>
            <w:tcW w:w="3152" w:type="dxa"/>
            <w:shd w:val="clear" w:color="auto" w:fill="auto"/>
            <w:vAlign w:val="center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Opory dotyczące wymiany informacji podczas realizacji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procesów jednostki (muzeum)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Praw autorskich i danych wrażliwych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Zmiany zakresu prac</w:t>
            </w: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przekroczenia budżetu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Opóźnienia przy realizacji zamówień publicznych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Związane z przekroczeniem harmonogramu</w:t>
            </w: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Niedotrzymywanie terminów wykonania zleceń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C6AE0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Ryzyko związane z tzw. czynnikiem ludzkim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celów w</w:t>
            </w: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trakcie trwania projektu</w:t>
            </w:r>
          </w:p>
        </w:tc>
        <w:tc>
          <w:tcPr>
            <w:tcW w:w="1688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3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Niskie</w:t>
            </w:r>
          </w:p>
          <w:p w:rsidR="00BF0B2E" w:rsidRDefault="00BF0B2E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4" w:type="dxa"/>
            <w:shd w:val="clear" w:color="auto" w:fill="auto"/>
          </w:tcPr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lastRenderedPageBreak/>
              <w:t>1. podejmowane działania zarządcze: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wprowadzenie polityki informacyjnej wewnątrz jednostki - informowanie, czyli dokładne wyjaśnienie, na czym polegają zmiany i w czym mogą pomóc (usprawnić działanie jednostki).</w:t>
            </w:r>
            <w:r>
              <w:rPr>
                <w:rFonts w:ascii="Arial" w:hAnsi="Arial" w:cs="Calibri"/>
                <w:sz w:val="18"/>
                <w:szCs w:val="18"/>
              </w:rPr>
              <w:br/>
              <w:t>2. spodziewane lub faktyczne efekty tych działań: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wyeliminowanie oporów dotyczących wymiany informacji podczas realizacji.</w:t>
            </w:r>
            <w:r>
              <w:rPr>
                <w:rFonts w:ascii="Arial" w:hAnsi="Arial" w:cs="Calibri"/>
                <w:sz w:val="18"/>
                <w:szCs w:val="18"/>
              </w:rPr>
              <w:br/>
              <w:t>3. czy nastąpiła zmiana w zakresie danego ryzyka w stosunku do poprzedniego okresu sprawozdawczego: nie nastąpiła.</w:t>
            </w: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bookmarkStart w:id="4" w:name="__DdeLink__7751_2756344845"/>
            <w:bookmarkEnd w:id="4"/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BF0B2E" w:rsidRDefault="004C6A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  <w:bookmarkStart w:id="5" w:name="__DdeLink__7751_27563448451"/>
            <w:bookmarkEnd w:id="5"/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to będzie eliminowane poprzez stały i staranny monitoring budżetu projektu.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</w:t>
            </w:r>
            <w:r>
              <w:rPr>
                <w:rFonts w:ascii="Arial" w:hAnsi="Arial" w:cs="Calibri"/>
                <w:sz w:val="18"/>
                <w:szCs w:val="18"/>
              </w:rPr>
              <w:lastRenderedPageBreak/>
              <w:t>tyczne efekty tych działań: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przypadku przekroczenia kosztów zawartych w poszczególnych zadaniach zostanie zaangażowana rezerwa finansowa przewidziana w projekcie.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BF0B2E" w:rsidRDefault="00BF0B2E">
            <w:pPr>
              <w:spacing w:after="0" w:line="240" w:lineRule="auto"/>
              <w:rPr>
                <w:rFonts w:cs="Arial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cs="Calibri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minimalizację tego ryzyka, powodowanego z przyczyn niezależnych od Wnioskodawcy, zapewni odpowiednia organizacja zamówień, uwzględniająca to zagrożenie. Wnioskodawca przygotuje specyfikację SIWZ pod kątem przeprowadzenia przetargów w projekcie w taki szczegółowy sposób, aby ograniczyć lub wyeliminować pytania i protesty potencjalnych oferentów.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opóźnień przy realizacji zamówień publicznych</w:t>
            </w:r>
          </w:p>
          <w:p w:rsidR="00BF0B2E" w:rsidRDefault="004C6AE0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Wnioskodawca będzie na każdym etapie realizacji projektu dokonywał kontroli postępów prac programistycznych, inwestycyjnych i wdrożeniowych. Umowy z dostawcami lub podwykonawcami będą starannie formułowane, aby wyeliminować ten czynnik ryzyka. Ponadto opracowany harmonogram zawiera niezbędny margines czasowy, pozwalający przeprowadzić projekt w zakładanym terminie.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realizacja zadań zgodnie z </w:t>
            </w:r>
            <w:r>
              <w:rPr>
                <w:rFonts w:ascii="Arial" w:hAnsi="Arial" w:cs="Calibri"/>
                <w:sz w:val="18"/>
                <w:szCs w:val="18"/>
              </w:rPr>
              <w:lastRenderedPageBreak/>
              <w:t>harmonogramem projektu.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BF0B2E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zostanie wdrożony precyzyjny sposób zarządzania projektem oraz prowadzony będzie stały monitoring kadr projektu, a dobór kadry programistów i informatyków będzie poprzedzony staranną analizą kompetencji oraz kwalifikacji zgodnych z oczekiwaniami i wymogami tworzonego systemu.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BF0B2E" w:rsidRDefault="004C6AE0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brak zmian kadrowych w zespole projektowym.</w:t>
            </w:r>
          </w:p>
          <w:p w:rsidR="00BF0B2E" w:rsidRDefault="004C6AE0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uzgodnienie szczegółowego i spójnego zakresu prac oraz uwzględnienie wszystkich etapów realizacji z całej dokumentacji projektowej.</w:t>
            </w:r>
          </w:p>
          <w:p w:rsidR="00BF0B2E" w:rsidRDefault="004C6AE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BF0B2E" w:rsidRDefault="004C6AE0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zmian celów w trakcie trwania projektu.</w:t>
            </w:r>
          </w:p>
          <w:p w:rsidR="00BF0B2E" w:rsidRDefault="004C6AE0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BF0B2E" w:rsidRDefault="00BF0B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F0B2E" w:rsidRDefault="00BF0B2E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BF0B2E" w:rsidRDefault="004C6AE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62"/>
        <w:gridCol w:w="1694"/>
        <w:gridCol w:w="2296"/>
        <w:gridCol w:w="2628"/>
      </w:tblGrid>
      <w:tr w:rsidR="00BF0B2E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F0B2E" w:rsidRDefault="004C6AE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F0B2E" w:rsidRDefault="004C6AE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F0B2E" w:rsidRDefault="004C6AE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F0B2E" w:rsidRDefault="004C6AE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F0B2E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Uzależnienie dalszych prac od wykonawcy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vendor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lock-in)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Awarie modułów oprogramowania i serwerowni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cs="Arial"/>
                <w:lang w:eastAsia="pl-PL"/>
              </w:rPr>
            </w:pPr>
          </w:p>
          <w:p w:rsidR="00BF0B2E" w:rsidRDefault="004C6AE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Cyberataki 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internecie</w:t>
            </w:r>
            <w:proofErr w:type="spellEnd"/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Modyfikacja zgromadzonych danych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Zwiększony ruch na stronie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Niespójność danych pomiędzy portalem on-line, a nowym Systemem Muzealnym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B2E" w:rsidRDefault="004C6AE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cs="Arial"/>
                <w:lang w:eastAsia="pl-PL"/>
              </w:rPr>
            </w:pPr>
          </w:p>
          <w:p w:rsidR="00BF0B2E" w:rsidRDefault="004C6AE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cs="Arial"/>
                <w:lang w:eastAsia="pl-PL"/>
              </w:rPr>
            </w:pPr>
          </w:p>
          <w:p w:rsidR="00BF0B2E" w:rsidRDefault="004C6AE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B2E" w:rsidRDefault="004C6AE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cs="Arial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BF0B2E" w:rsidRDefault="00BF0B2E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BF0B2E" w:rsidRDefault="00BF0B2E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B2E" w:rsidRDefault="004C6AE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Definiowanie jednoznacznych wymagań, utrzymanie otwartych standardów, modułowość rozwiązań.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Wsparcie powdrożeniowe oraz wprowadzanie poprawek w oprogramowaniu.</w:t>
            </w:r>
          </w:p>
          <w:p w:rsidR="00BF0B2E" w:rsidRDefault="00BF0B2E">
            <w:pPr>
              <w:rPr>
                <w:rFonts w:cs="Arial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Stosowanie najnowszych rozwiązań w zakresie bezpieczeństwa oraz audyt bezpieczeństwa.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mechanizmów w zakresie utrzymania integralności i wiarygodności informacji oraz rozliczalności aktywności w systemie, stosowanie mechanizmów kopii bezpieczeństwa.</w:t>
            </w:r>
          </w:p>
          <w:p w:rsidR="00BF0B2E" w:rsidRDefault="004C6AE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przypadku wzrostów nastąpi zwiększenie zasobów. Monitoring i Alerty.</w:t>
            </w:r>
          </w:p>
          <w:p w:rsidR="00BF0B2E" w:rsidRDefault="00BF0B2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BF0B2E" w:rsidRDefault="004C6AE0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Planuje się użycie obecnie istniejącej bazy danych tylko w minimalnym stopniu - do umieszczania i prezentowania dzieł on-line, które zostaną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umieszczone w nowym oprogramowaniu Systemu Muzealnego. Nie występuje ryzyko dublowania danych - dane w bazie portalu on-line mają charakter reprezentacyjny - informacyjny.</w:t>
            </w:r>
          </w:p>
        </w:tc>
      </w:tr>
    </w:tbl>
    <w:p w:rsidR="00BF0B2E" w:rsidRDefault="004C6AE0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BF0B2E" w:rsidRDefault="004C6AE0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dotyczy.</w:t>
      </w:r>
    </w:p>
    <w:p w:rsidR="00BF0B2E" w:rsidRDefault="004C6AE0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6" w:name="_Hlk18274129"/>
      <w:r>
        <w:rPr>
          <w:rFonts w:ascii="Arial" w:hAnsi="Arial" w:cs="Arial"/>
        </w:rPr>
        <w:t xml:space="preserve">Emilia Antosz, Muzeum Sztuki w Łodzi, </w:t>
      </w:r>
      <w:hyperlink r:id="rId8">
        <w:r>
          <w:rPr>
            <w:rStyle w:val="czeinternetowe"/>
            <w:rFonts w:ascii="Arial" w:hAnsi="Arial" w:cs="Arial"/>
          </w:rPr>
          <w:t>e.antosz@msl.org.pl</w:t>
        </w:r>
      </w:hyperlink>
      <w:r>
        <w:rPr>
          <w:rFonts w:ascii="Arial" w:hAnsi="Arial" w:cs="Arial"/>
        </w:rPr>
        <w:t xml:space="preserve"> tel. 531 621 813 </w:t>
      </w:r>
      <w:bookmarkEnd w:id="6"/>
    </w:p>
    <w:p w:rsidR="00BF0B2E" w:rsidRDefault="00BF0B2E">
      <w:pPr>
        <w:spacing w:after="0"/>
        <w:jc w:val="both"/>
        <w:rPr>
          <w:rFonts w:ascii="Arial" w:hAnsi="Arial" w:cs="Arial"/>
        </w:rPr>
      </w:pPr>
    </w:p>
    <w:p w:rsidR="00BF0B2E" w:rsidRDefault="00BF0B2E">
      <w:pPr>
        <w:spacing w:after="0"/>
        <w:jc w:val="both"/>
        <w:rPr>
          <w:rFonts w:ascii="Arial" w:hAnsi="Arial" w:cs="Arial"/>
        </w:rPr>
      </w:pPr>
    </w:p>
    <w:p w:rsidR="00BF0B2E" w:rsidRDefault="00BF0B2E">
      <w:pPr>
        <w:spacing w:after="0"/>
        <w:jc w:val="both"/>
      </w:pPr>
    </w:p>
    <w:sectPr w:rsidR="00BF0B2E" w:rsidSect="00FE3AB8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E1E" w:rsidRDefault="004C6AE0">
      <w:pPr>
        <w:spacing w:after="0" w:line="240" w:lineRule="auto"/>
      </w:pPr>
      <w:r>
        <w:separator/>
      </w:r>
    </w:p>
  </w:endnote>
  <w:endnote w:type="continuationSeparator" w:id="0">
    <w:p w:rsidR="005B7E1E" w:rsidRDefault="004C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3311464"/>
      <w:docPartObj>
        <w:docPartGallery w:val="Page Numbers (Top of Page)"/>
        <w:docPartUnique/>
      </w:docPartObj>
    </w:sdtPr>
    <w:sdtEndPr/>
    <w:sdtContent>
      <w:p w:rsidR="00BF0B2E" w:rsidRDefault="004C6AE0">
        <w:pPr>
          <w:pStyle w:val="Stopka1"/>
          <w:jc w:val="right"/>
        </w:pPr>
        <w:r>
          <w:t xml:space="preserve">Strona </w:t>
        </w:r>
        <w:r w:rsidR="00FE3AB8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FE3AB8">
          <w:rPr>
            <w:b/>
            <w:bCs/>
            <w:sz w:val="24"/>
            <w:szCs w:val="24"/>
          </w:rPr>
          <w:fldChar w:fldCharType="separate"/>
        </w:r>
        <w:r w:rsidR="004D1EFB">
          <w:rPr>
            <w:b/>
            <w:bCs/>
            <w:noProof/>
            <w:sz w:val="24"/>
            <w:szCs w:val="24"/>
          </w:rPr>
          <w:t>4</w:t>
        </w:r>
        <w:r w:rsidR="00FE3AB8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BF0B2E" w:rsidRDefault="00BF0B2E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B2E" w:rsidRDefault="004C6AE0">
      <w:r>
        <w:separator/>
      </w:r>
    </w:p>
  </w:footnote>
  <w:footnote w:type="continuationSeparator" w:id="0">
    <w:p w:rsidR="00BF0B2E" w:rsidRDefault="004C6AE0">
      <w:r>
        <w:continuationSeparator/>
      </w:r>
    </w:p>
  </w:footnote>
  <w:footnote w:id="1">
    <w:p w:rsidR="00BF0B2E" w:rsidRDefault="004C6AE0">
      <w:pPr>
        <w:pStyle w:val="Tekstprzypisudolnego1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A2FC3"/>
    <w:multiLevelType w:val="multilevel"/>
    <w:tmpl w:val="0FB298C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83ADF"/>
    <w:multiLevelType w:val="multilevel"/>
    <w:tmpl w:val="858CE0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0B2E"/>
    <w:rsid w:val="001B0BEC"/>
    <w:rsid w:val="004C6AE0"/>
    <w:rsid w:val="004D1EFB"/>
    <w:rsid w:val="004E481D"/>
    <w:rsid w:val="0059631B"/>
    <w:rsid w:val="005B7E1E"/>
    <w:rsid w:val="005E06B6"/>
    <w:rsid w:val="00BE53C4"/>
    <w:rsid w:val="00BF0B2E"/>
    <w:rsid w:val="00CD6944"/>
    <w:rsid w:val="00D775E2"/>
    <w:rsid w:val="00ED5364"/>
    <w:rsid w:val="00FE3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8EE0"/>
  <w15:docId w15:val="{4450D3A7-2A89-4FDE-9E90-72FF3FE45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sid w:val="0074700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1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D67AA2"/>
    <w:rPr>
      <w:color w:val="0563C1" w:themeColor="hyperlink"/>
      <w:u w:val="single"/>
    </w:rPr>
  </w:style>
  <w:style w:type="character" w:customStyle="1" w:styleId="ListLabel1">
    <w:name w:val="ListLabel 1"/>
    <w:qFormat/>
    <w:rsid w:val="00747005"/>
    <w:rPr>
      <w:i w:val="0"/>
      <w:color w:val="auto"/>
    </w:rPr>
  </w:style>
  <w:style w:type="character" w:customStyle="1" w:styleId="ListLabel2">
    <w:name w:val="ListLabel 2"/>
    <w:qFormat/>
    <w:rsid w:val="00747005"/>
    <w:rPr>
      <w:i w:val="0"/>
      <w:color w:val="auto"/>
    </w:rPr>
  </w:style>
  <w:style w:type="character" w:customStyle="1" w:styleId="ListLabel3">
    <w:name w:val="ListLabel 3"/>
    <w:qFormat/>
    <w:rsid w:val="00747005"/>
    <w:rPr>
      <w:i w:val="0"/>
      <w:color w:val="auto"/>
    </w:rPr>
  </w:style>
  <w:style w:type="character" w:customStyle="1" w:styleId="ListLabel4">
    <w:name w:val="ListLabel 4"/>
    <w:qFormat/>
    <w:rsid w:val="00747005"/>
    <w:rPr>
      <w:rFonts w:eastAsia="Calibri"/>
    </w:rPr>
  </w:style>
  <w:style w:type="character" w:customStyle="1" w:styleId="ListLabel5">
    <w:name w:val="ListLabel 5"/>
    <w:qFormat/>
    <w:rsid w:val="00747005"/>
    <w:rPr>
      <w:rFonts w:cs="Courier New"/>
    </w:rPr>
  </w:style>
  <w:style w:type="character" w:customStyle="1" w:styleId="ListLabel6">
    <w:name w:val="ListLabel 6"/>
    <w:qFormat/>
    <w:rsid w:val="00747005"/>
    <w:rPr>
      <w:rFonts w:cs="Courier New"/>
    </w:rPr>
  </w:style>
  <w:style w:type="character" w:customStyle="1" w:styleId="ListLabel7">
    <w:name w:val="ListLabel 7"/>
    <w:qFormat/>
    <w:rsid w:val="00747005"/>
    <w:rPr>
      <w:rFonts w:cs="Courier New"/>
    </w:rPr>
  </w:style>
  <w:style w:type="character" w:customStyle="1" w:styleId="ListLabel8">
    <w:name w:val="ListLabel 8"/>
    <w:qFormat/>
    <w:rsid w:val="00747005"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sid w:val="00747005"/>
    <w:rPr>
      <w:i w:val="0"/>
      <w:color w:val="auto"/>
    </w:rPr>
  </w:style>
  <w:style w:type="character" w:customStyle="1" w:styleId="ListLabel10">
    <w:name w:val="ListLabel 10"/>
    <w:qFormat/>
    <w:rsid w:val="00747005"/>
    <w:rPr>
      <w:i w:val="0"/>
      <w:color w:val="auto"/>
    </w:rPr>
  </w:style>
  <w:style w:type="character" w:customStyle="1" w:styleId="ListLabel11">
    <w:name w:val="ListLabel 11"/>
    <w:qFormat/>
    <w:rsid w:val="00747005"/>
    <w:rPr>
      <w:i w:val="0"/>
      <w:color w:val="auto"/>
    </w:rPr>
  </w:style>
  <w:style w:type="character" w:customStyle="1" w:styleId="ListLabel12">
    <w:name w:val="ListLabel 12"/>
    <w:qFormat/>
    <w:rsid w:val="00747005"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sid w:val="00747005"/>
    <w:rPr>
      <w:rFonts w:cs="Courier New"/>
    </w:rPr>
  </w:style>
  <w:style w:type="character" w:customStyle="1" w:styleId="ListLabel14">
    <w:name w:val="ListLabel 14"/>
    <w:qFormat/>
    <w:rsid w:val="00747005"/>
    <w:rPr>
      <w:rFonts w:cs="Courier New"/>
    </w:rPr>
  </w:style>
  <w:style w:type="character" w:customStyle="1" w:styleId="ListLabel15">
    <w:name w:val="ListLabel 15"/>
    <w:qFormat/>
    <w:rsid w:val="00747005"/>
    <w:rPr>
      <w:rFonts w:cs="Courier New"/>
    </w:rPr>
  </w:style>
  <w:style w:type="character" w:customStyle="1" w:styleId="ListLabel16">
    <w:name w:val="ListLabel 16"/>
    <w:qFormat/>
    <w:rsid w:val="00747005"/>
    <w:rPr>
      <w:b/>
      <w:i w:val="0"/>
      <w:color w:val="0070C0"/>
    </w:rPr>
  </w:style>
  <w:style w:type="character" w:customStyle="1" w:styleId="ListLabel17">
    <w:name w:val="ListLabel 17"/>
    <w:qFormat/>
    <w:rsid w:val="00747005"/>
    <w:rPr>
      <w:b/>
      <w:i w:val="0"/>
      <w:color w:val="0070C0"/>
    </w:rPr>
  </w:style>
  <w:style w:type="character" w:customStyle="1" w:styleId="ListLabel18">
    <w:name w:val="ListLabel 18"/>
    <w:qFormat/>
    <w:rsid w:val="00747005"/>
    <w:rPr>
      <w:b/>
      <w:i w:val="0"/>
      <w:color w:val="0070C0"/>
    </w:rPr>
  </w:style>
  <w:style w:type="character" w:customStyle="1" w:styleId="ListLabel19">
    <w:name w:val="ListLabel 19"/>
    <w:qFormat/>
    <w:rsid w:val="00747005"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sid w:val="00747005"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sid w:val="00747005"/>
    <w:rPr>
      <w:rFonts w:cs="Courier New"/>
    </w:rPr>
  </w:style>
  <w:style w:type="character" w:customStyle="1" w:styleId="ListLabel23">
    <w:name w:val="ListLabel 23"/>
    <w:qFormat/>
    <w:rsid w:val="00747005"/>
    <w:rPr>
      <w:rFonts w:cs="Courier New"/>
    </w:rPr>
  </w:style>
  <w:style w:type="character" w:customStyle="1" w:styleId="ListLabel24">
    <w:name w:val="ListLabel 24"/>
    <w:qFormat/>
    <w:rsid w:val="00747005"/>
    <w:rPr>
      <w:rFonts w:cs="Courier New"/>
    </w:rPr>
  </w:style>
  <w:style w:type="character" w:customStyle="1" w:styleId="ListLabel25">
    <w:name w:val="ListLabel 25"/>
    <w:qFormat/>
    <w:rsid w:val="00747005"/>
    <w:rPr>
      <w:rFonts w:ascii="Arial" w:hAnsi="Arial" w:cs="Arial"/>
    </w:rPr>
  </w:style>
  <w:style w:type="character" w:customStyle="1" w:styleId="Znakiprzypiswdolnych">
    <w:name w:val="Znaki przypisów dolnych"/>
    <w:qFormat/>
    <w:rsid w:val="00747005"/>
  </w:style>
  <w:style w:type="character" w:customStyle="1" w:styleId="Zakotwiczenieprzypisukocowego">
    <w:name w:val="Zakotwiczenie przypisu końcowego"/>
    <w:rsid w:val="00747005"/>
    <w:rPr>
      <w:vertAlign w:val="superscript"/>
    </w:rPr>
  </w:style>
  <w:style w:type="character" w:customStyle="1" w:styleId="Znakiprzypiswkocowych">
    <w:name w:val="Znaki przypisów końcowych"/>
    <w:qFormat/>
    <w:rsid w:val="00747005"/>
  </w:style>
  <w:style w:type="character" w:customStyle="1" w:styleId="ListLabel26">
    <w:name w:val="ListLabel 26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7">
    <w:name w:val="ListLabel 27"/>
    <w:qFormat/>
    <w:rsid w:val="00747005"/>
    <w:rPr>
      <w:rFonts w:ascii="Arial" w:hAnsi="Arial" w:cs="Arial"/>
    </w:rPr>
  </w:style>
  <w:style w:type="character" w:customStyle="1" w:styleId="ListLabel28">
    <w:name w:val="ListLabel 28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9">
    <w:name w:val="ListLabel 29"/>
    <w:qFormat/>
    <w:rsid w:val="00747005"/>
    <w:rPr>
      <w:rFonts w:ascii="Arial" w:hAnsi="Arial" w:cs="Arial"/>
    </w:rPr>
  </w:style>
  <w:style w:type="character" w:customStyle="1" w:styleId="ListLabel30">
    <w:name w:val="ListLabel 30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1">
    <w:name w:val="ListLabel 31"/>
    <w:qFormat/>
    <w:rsid w:val="00747005"/>
    <w:rPr>
      <w:rFonts w:ascii="Arial" w:hAnsi="Arial" w:cs="Arial"/>
    </w:rPr>
  </w:style>
  <w:style w:type="character" w:customStyle="1" w:styleId="ListLabel32">
    <w:name w:val="ListLabel 32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3">
    <w:name w:val="ListLabel 33"/>
    <w:qFormat/>
    <w:rsid w:val="00747005"/>
    <w:rPr>
      <w:rFonts w:ascii="Arial" w:hAnsi="Arial" w:cs="Arial"/>
    </w:rPr>
  </w:style>
  <w:style w:type="character" w:customStyle="1" w:styleId="ListLabel34">
    <w:name w:val="ListLabel 34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sid w:val="00FE3AB8"/>
    <w:rPr>
      <w:rFonts w:ascii="Arial" w:hAnsi="Arial" w:cs="Arial"/>
    </w:rPr>
  </w:style>
  <w:style w:type="character" w:customStyle="1" w:styleId="ListLabel36">
    <w:name w:val="ListLabel 36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7">
    <w:name w:val="ListLabel 37"/>
    <w:qFormat/>
    <w:rsid w:val="00FE3AB8"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qFormat/>
    <w:rsid w:val="007470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sid w:val="00747005"/>
    <w:rPr>
      <w:rFonts w:cs="Arial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rsid w:val="00747005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Legenda1">
    <w:name w:val="Legenda1"/>
    <w:basedOn w:val="Normalny"/>
    <w:qFormat/>
    <w:rsid w:val="007470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BB2420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LO-normal">
    <w:name w:val="LO-normal"/>
    <w:qFormat/>
    <w:rsid w:val="00747005"/>
    <w:rPr>
      <w:sz w:val="22"/>
    </w:rPr>
  </w:style>
  <w:style w:type="paragraph" w:styleId="Tekstprzypisudolnego">
    <w:name w:val="footnote text"/>
    <w:basedOn w:val="Normalny"/>
    <w:rsid w:val="00FE3AB8"/>
  </w:style>
  <w:style w:type="paragraph" w:styleId="Stopka">
    <w:name w:val="footer"/>
    <w:basedOn w:val="Normalny"/>
    <w:rsid w:val="00FE3AB8"/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ntosz@msl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E76C4-36D9-46E0-8657-EEFA3A037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1683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EAntosz</dc:creator>
  <dc:description/>
  <cp:lastModifiedBy>EAntosz</cp:lastModifiedBy>
  <cp:revision>2</cp:revision>
  <dcterms:created xsi:type="dcterms:W3CDTF">2021-10-21T12:29:00Z</dcterms:created>
  <dcterms:modified xsi:type="dcterms:W3CDTF">2021-10-21T12:29:00Z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